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EB7202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>16/RFM/2017  le 30/03/2018 à 10H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DF48A2" w:rsidRPr="00DF48A2" w:rsidRDefault="00EB7202" w:rsidP="00EB7202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EB7202">
        <w:rPr>
          <w:rFonts w:ascii="Calibri" w:eastAsiaTheme="minorHAnsi" w:hAnsi="Calibri" w:cs="Calibri"/>
          <w:b/>
          <w:bCs/>
          <w:color w:val="000000"/>
          <w:szCs w:val="28"/>
        </w:rPr>
        <w:t>FRAIS D’ANIMATIONS CULTURELLES AFFERANTS A LA LOCATION D’UN STAND EQUIPE DANS LE CADRE DE LA CEREMONIE OFFICIELLE DU 13ème EDITION DU SALON INTERNATIONAL DE L’AGRICULTURE AU MAROC -MEKNES 2018-</w:t>
      </w:r>
      <w:bookmarkStart w:id="0" w:name="_GoBack"/>
      <w:bookmarkEnd w:id="0"/>
      <w:r w:rsidR="00862222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55pt;height:10.5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6E90"/>
    <w:rsid w:val="0016120F"/>
    <w:rsid w:val="001B6151"/>
    <w:rsid w:val="001C4DFF"/>
    <w:rsid w:val="00226850"/>
    <w:rsid w:val="00263195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B7202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E07EF-74A1-4904-AAF1-87F46D2FA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44</cp:revision>
  <cp:lastPrinted>2017-11-29T12:34:00Z</cp:lastPrinted>
  <dcterms:created xsi:type="dcterms:W3CDTF">2016-03-18T10:31:00Z</dcterms:created>
  <dcterms:modified xsi:type="dcterms:W3CDTF">2018-03-08T10:21:00Z</dcterms:modified>
</cp:coreProperties>
</file>