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25717F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2E756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7</w:t>
      </w:r>
      <w:r w:rsidR="00154C8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5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2E7568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2018 </w:t>
      </w:r>
      <w:bookmarkStart w:id="0" w:name="_GoBack"/>
      <w:r w:rsidR="008E5D1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du</w:t>
      </w:r>
      <w:r w:rsidR="0025717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12/12/2018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25717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154C89" w:rsidRPr="003C361D" w:rsidRDefault="00154C89" w:rsidP="00154C89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Travaux de c</w:t>
      </w:r>
      <w:r w:rsidRPr="003C361D">
        <w:rPr>
          <w:b/>
          <w:bCs/>
          <w:sz w:val="28"/>
          <w:szCs w:val="28"/>
        </w:rPr>
        <w:t>onstruction de la piste reliant la route non classée de Beni Oulid et la RP 5314 via Douars Mzab, Ain Hamra et El Kelaa</w:t>
      </w:r>
      <w:r>
        <w:rPr>
          <w:b/>
          <w:bCs/>
          <w:sz w:val="28"/>
          <w:szCs w:val="28"/>
        </w:rPr>
        <w:t>, Commune de Beni Oulid, Province de Taounate</w:t>
      </w:r>
    </w:p>
    <w:p w:rsidR="00DA4310" w:rsidRDefault="00DA4310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15pt;height:10.1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146A7C"/>
    <w:rsid w:val="00154C89"/>
    <w:rsid w:val="00156E90"/>
    <w:rsid w:val="0016120F"/>
    <w:rsid w:val="001662B2"/>
    <w:rsid w:val="001B6151"/>
    <w:rsid w:val="001C4DFF"/>
    <w:rsid w:val="00226850"/>
    <w:rsid w:val="0025717F"/>
    <w:rsid w:val="00263195"/>
    <w:rsid w:val="00263BD5"/>
    <w:rsid w:val="002E7568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0E3C"/>
    <w:rsid w:val="0081312E"/>
    <w:rsid w:val="00831553"/>
    <w:rsid w:val="008531F2"/>
    <w:rsid w:val="00862222"/>
    <w:rsid w:val="00886639"/>
    <w:rsid w:val="008C4058"/>
    <w:rsid w:val="008D663F"/>
    <w:rsid w:val="008E2844"/>
    <w:rsid w:val="008E5D1D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6708D"/>
    <w:rsid w:val="00DA4310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1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8CA2B-6670-4FAC-8F7E-AEFFB9C54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63</cp:revision>
  <cp:lastPrinted>2018-08-01T10:45:00Z</cp:lastPrinted>
  <dcterms:created xsi:type="dcterms:W3CDTF">2016-03-18T10:31:00Z</dcterms:created>
  <dcterms:modified xsi:type="dcterms:W3CDTF">2018-11-19T13:00:00Z</dcterms:modified>
</cp:coreProperties>
</file>